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09" w:rsidRDefault="008E3C09" w:rsidP="008E3C09">
      <w:pPr>
        <w:widowControl w:val="0"/>
        <w:shd w:val="clear" w:color="auto" w:fill="FFFFFF"/>
        <w:adjustRightInd w:val="0"/>
        <w:snapToGrid w:val="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附件8：</w:t>
      </w:r>
    </w:p>
    <w:p w:rsidR="008E3C09" w:rsidRDefault="008E3C09" w:rsidP="008E3C09">
      <w:pPr>
        <w:widowControl w:val="0"/>
        <w:shd w:val="clear" w:color="auto" w:fill="FFFFFF"/>
        <w:adjustRightInd w:val="0"/>
        <w:snapToGrid w:val="0"/>
        <w:jc w:val="center"/>
        <w:rPr>
          <w:rFonts w:ascii="仿宋_GB2312" w:eastAsia="仿宋_GB2312" w:hAnsi="仿宋" w:cs="仿宋_GB2312"/>
          <w:b/>
          <w:sz w:val="36"/>
          <w:szCs w:val="32"/>
        </w:rPr>
      </w:pPr>
      <w:r w:rsidRPr="008E3C09">
        <w:rPr>
          <w:rFonts w:ascii="仿宋_GB2312" w:eastAsia="仿宋_GB2312" w:hAnsi="仿宋" w:cs="仿宋_GB2312" w:hint="eastAsia"/>
          <w:b/>
          <w:sz w:val="36"/>
          <w:szCs w:val="32"/>
        </w:rPr>
        <w:t>差旅费</w:t>
      </w:r>
      <w:r w:rsidRPr="008E3C09">
        <w:rPr>
          <w:rFonts w:ascii="仿宋_GB2312" w:eastAsia="仿宋_GB2312" w:hAnsi="仿宋" w:cs="仿宋_GB2312"/>
          <w:b/>
          <w:sz w:val="36"/>
          <w:szCs w:val="32"/>
        </w:rPr>
        <w:t>相关标准</w:t>
      </w:r>
    </w:p>
    <w:p w:rsidR="008E3C09" w:rsidRPr="00664F31" w:rsidRDefault="008E3C09" w:rsidP="008E3C09">
      <w:pPr>
        <w:widowControl w:val="0"/>
        <w:shd w:val="clear" w:color="auto" w:fill="FFFFFF"/>
        <w:adjustRightInd w:val="0"/>
        <w:snapToGrid w:val="0"/>
        <w:rPr>
          <w:rFonts w:ascii="仿宋" w:eastAsia="仿宋" w:hAnsi="仿宋" w:cs="仿宋_GB2312"/>
          <w:b/>
          <w:sz w:val="36"/>
          <w:szCs w:val="32"/>
        </w:rPr>
      </w:pPr>
      <w:r w:rsidRPr="00664F31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664F31">
        <w:rPr>
          <w:rFonts w:ascii="仿宋" w:eastAsia="仿宋" w:hAnsi="仿宋" w:cs="仿宋_GB2312"/>
          <w:b/>
          <w:sz w:val="32"/>
          <w:szCs w:val="32"/>
        </w:rPr>
        <w:t>.</w:t>
      </w:r>
      <w:r w:rsidRPr="00664F31">
        <w:rPr>
          <w:rFonts w:ascii="仿宋" w:eastAsia="仿宋" w:hAnsi="仿宋" w:cs="仿宋_GB2312" w:hint="eastAsia"/>
          <w:sz w:val="32"/>
          <w:szCs w:val="32"/>
        </w:rPr>
        <w:t>出差人员乘坐的城市间交通工具应不超过以下标准：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487"/>
        <w:gridCol w:w="1276"/>
        <w:gridCol w:w="1037"/>
        <w:gridCol w:w="1209"/>
      </w:tblGrid>
      <w:tr w:rsidR="008E3C09" w:rsidRPr="00165971" w:rsidTr="00D15792">
        <w:trPr>
          <w:jc w:val="center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ind w:firstLineChars="600" w:firstLine="1446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交通工具</w:t>
            </w:r>
          </w:p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火车（含高铁、动车、全列软席列车）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轮船（不含旅游船）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飞 机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其他交通</w:t>
            </w:r>
            <w:r w:rsidRPr="0016597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br/>
              <w:t>工具</w:t>
            </w:r>
          </w:p>
        </w:tc>
      </w:tr>
      <w:tr w:rsidR="008E3C09" w:rsidRPr="00165971" w:rsidTr="00D15792">
        <w:trPr>
          <w:jc w:val="center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院士、二级职员及相当职务人员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火车软席（软座、软卧），一等软座，高铁/动车商务座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一等舱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头等舱</w:t>
            </w: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br/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凭据报销</w:t>
            </w:r>
          </w:p>
        </w:tc>
      </w:tr>
      <w:tr w:rsidR="008E3C09" w:rsidRPr="00165971" w:rsidTr="00D15792">
        <w:trPr>
          <w:jc w:val="center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二级教授、长江学者、杰青, 千人计划国家特聘教授，科教卓越贡献人才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火车软席（软座、软卧），一等软座，高铁/动车商务座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853A43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53A43">
              <w:rPr>
                <w:rFonts w:ascii="仿宋_GB2312" w:eastAsia="仿宋_GB2312" w:hAnsi="仿宋" w:hint="eastAsia"/>
                <w:sz w:val="24"/>
                <w:szCs w:val="24"/>
              </w:rPr>
              <w:t>二等舱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公务舱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凭据报销</w:t>
            </w:r>
          </w:p>
        </w:tc>
      </w:tr>
      <w:tr w:rsidR="008E3C09" w:rsidRPr="00165971" w:rsidTr="00D15792">
        <w:trPr>
          <w:jc w:val="center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853A43">
              <w:rPr>
                <w:rFonts w:ascii="仿宋_GB2312" w:eastAsia="仿宋_GB2312" w:hAnsi="仿宋" w:hint="eastAsia"/>
                <w:sz w:val="24"/>
                <w:szCs w:val="24"/>
              </w:rPr>
              <w:t>三、四级职员</w:t>
            </w:r>
            <w:r w:rsidRPr="00165971">
              <w:rPr>
                <w:rFonts w:ascii="仿宋_GB2312" w:eastAsia="仿宋_GB2312" w:hAnsi="仿宋" w:hint="eastAsia"/>
                <w:b/>
                <w:sz w:val="24"/>
                <w:szCs w:val="24"/>
              </w:rPr>
              <w:t>，</w:t>
            </w: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五级及以上技术职务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人员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火车软席（软座、软卧），一等软座，高铁/动车一等座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二等舱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经济舱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凭据报销</w:t>
            </w:r>
          </w:p>
        </w:tc>
      </w:tr>
      <w:tr w:rsidR="008E3C09" w:rsidRPr="00165971" w:rsidTr="00D15792">
        <w:trPr>
          <w:jc w:val="center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其余人员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火车硬席（硬座、硬卧），高铁/动车二等座，全列软席列车二等软座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三等舱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经济舱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C09" w:rsidRPr="00165971" w:rsidRDefault="008E3C09" w:rsidP="00D1579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65971">
              <w:rPr>
                <w:rFonts w:ascii="仿宋_GB2312" w:eastAsia="仿宋_GB2312" w:hAnsi="仿宋" w:hint="eastAsia"/>
                <w:sz w:val="24"/>
                <w:szCs w:val="24"/>
              </w:rPr>
              <w:t>凭据报销</w:t>
            </w:r>
          </w:p>
        </w:tc>
      </w:tr>
    </w:tbl>
    <w:p w:rsidR="00E7580B" w:rsidRPr="00165971" w:rsidRDefault="00A67E98" w:rsidP="00A67E98">
      <w:pPr>
        <w:widowControl w:val="0"/>
        <w:shd w:val="clear" w:color="auto" w:fill="FFFFFF"/>
        <w:spacing w:before="100" w:beforeAutospacing="1" w:after="100" w:afterAutospacing="1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备</w:t>
      </w:r>
      <w:r w:rsidR="008E3C09" w:rsidRPr="00165971">
        <w:rPr>
          <w:rFonts w:ascii="仿宋_GB2312" w:eastAsia="仿宋_GB2312" w:hAnsi="仿宋" w:hint="eastAsia"/>
          <w:sz w:val="24"/>
          <w:szCs w:val="24"/>
        </w:rPr>
        <w:t>注:</w:t>
      </w:r>
      <w:r>
        <w:rPr>
          <w:rFonts w:ascii="仿宋_GB2312" w:eastAsia="仿宋_GB2312" w:hAnsi="仿宋"/>
          <w:sz w:val="24"/>
          <w:szCs w:val="24"/>
        </w:rPr>
        <w:t>1.</w:t>
      </w:r>
      <w:r w:rsidR="008E3C09" w:rsidRPr="00165971">
        <w:rPr>
          <w:rFonts w:ascii="仿宋_GB2312" w:eastAsia="仿宋_GB2312" w:hAnsi="仿宋" w:hint="eastAsia"/>
          <w:sz w:val="24"/>
          <w:szCs w:val="24"/>
        </w:rPr>
        <w:t>科教卓越贡献人才是指享受学校“科教卓越贡献人才津贴”的有关人员</w:t>
      </w:r>
      <w:r>
        <w:rPr>
          <w:rFonts w:ascii="仿宋_GB2312" w:eastAsia="仿宋_GB2312" w:hAnsi="仿宋" w:hint="eastAsia"/>
          <w:sz w:val="24"/>
          <w:szCs w:val="24"/>
        </w:rPr>
        <w:t>； 2.确</w:t>
      </w:r>
      <w:r>
        <w:rPr>
          <w:rFonts w:ascii="仿宋_GB2312" w:eastAsia="仿宋_GB2312" w:hAnsi="仿宋"/>
          <w:sz w:val="24"/>
          <w:szCs w:val="24"/>
        </w:rPr>
        <w:t>需出差的</w:t>
      </w:r>
      <w:r>
        <w:rPr>
          <w:rFonts w:ascii="仿宋_GB2312" w:eastAsia="仿宋_GB2312" w:hAnsi="仿宋" w:hint="eastAsia"/>
          <w:sz w:val="24"/>
          <w:szCs w:val="24"/>
        </w:rPr>
        <w:t>学生，</w:t>
      </w:r>
      <w:r>
        <w:rPr>
          <w:rFonts w:ascii="仿宋_GB2312" w:eastAsia="仿宋_GB2312" w:hAnsi="仿宋"/>
          <w:sz w:val="24"/>
          <w:szCs w:val="24"/>
        </w:rPr>
        <w:t>可</w:t>
      </w:r>
      <w:r>
        <w:rPr>
          <w:rFonts w:ascii="仿宋_GB2312" w:eastAsia="仿宋_GB2312" w:hAnsi="仿宋" w:hint="eastAsia"/>
          <w:sz w:val="24"/>
          <w:szCs w:val="24"/>
        </w:rPr>
        <w:t>参照</w:t>
      </w:r>
      <w:r>
        <w:rPr>
          <w:rFonts w:ascii="仿宋_GB2312" w:eastAsia="仿宋_GB2312" w:hAnsi="仿宋"/>
          <w:sz w:val="24"/>
          <w:szCs w:val="24"/>
        </w:rPr>
        <w:t>其余人员乘坐</w:t>
      </w:r>
      <w:r>
        <w:rPr>
          <w:rFonts w:ascii="仿宋_GB2312" w:eastAsia="仿宋_GB2312" w:hAnsi="仿宋" w:hint="eastAsia"/>
          <w:sz w:val="24"/>
          <w:szCs w:val="24"/>
        </w:rPr>
        <w:t>交通</w:t>
      </w:r>
      <w:r>
        <w:rPr>
          <w:rFonts w:ascii="仿宋_GB2312" w:eastAsia="仿宋_GB2312" w:hAnsi="仿宋"/>
          <w:sz w:val="24"/>
          <w:szCs w:val="24"/>
        </w:rPr>
        <w:t>工具</w:t>
      </w:r>
      <w:r>
        <w:rPr>
          <w:rFonts w:ascii="仿宋_GB2312" w:eastAsia="仿宋_GB2312" w:hAnsi="仿宋" w:hint="eastAsia"/>
          <w:sz w:val="24"/>
          <w:szCs w:val="24"/>
        </w:rPr>
        <w:t>标准</w:t>
      </w:r>
      <w:r>
        <w:rPr>
          <w:rFonts w:ascii="仿宋_GB2312" w:eastAsia="仿宋_GB2312" w:hAnsi="仿宋"/>
          <w:sz w:val="24"/>
          <w:szCs w:val="24"/>
        </w:rPr>
        <w:t>选乘交通工具。</w:t>
      </w:r>
    </w:p>
    <w:p w:rsidR="00205195" w:rsidRDefault="00426C38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</w:t>
      </w:r>
      <w:r w:rsidR="008E3C09" w:rsidRPr="00664F31">
        <w:rPr>
          <w:rFonts w:ascii="仿宋" w:eastAsia="仿宋" w:hAnsi="仿宋" w:hint="eastAsia"/>
          <w:sz w:val="32"/>
        </w:rPr>
        <w:t>.伙食补助</w:t>
      </w:r>
      <w:r w:rsidR="008E3C09" w:rsidRPr="00664F31">
        <w:rPr>
          <w:rFonts w:ascii="仿宋" w:eastAsia="仿宋" w:hAnsi="仿宋"/>
          <w:sz w:val="32"/>
        </w:rPr>
        <w:t>标准</w:t>
      </w:r>
    </w:p>
    <w:p w:rsidR="00664F31" w:rsidRPr="00C254C2" w:rsidRDefault="00C254C2" w:rsidP="00C254C2">
      <w:pPr>
        <w:widowControl w:val="0"/>
        <w:shd w:val="clear" w:color="auto" w:fill="FFFFFF"/>
        <w:adjustRightInd w:val="0"/>
        <w:snapToGrid w:val="0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65971">
        <w:rPr>
          <w:rFonts w:ascii="仿宋_GB2312" w:eastAsia="仿宋_GB2312" w:hAnsi="仿宋" w:cs="仿宋_GB2312" w:hint="eastAsia"/>
          <w:sz w:val="32"/>
          <w:szCs w:val="32"/>
        </w:rPr>
        <w:t>伙食补助费标准每人每天100元。西藏、青海、新疆每人每天120元。</w:t>
      </w:r>
    </w:p>
    <w:p w:rsidR="008E3C09" w:rsidRDefault="00426C38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</w:t>
      </w:r>
      <w:r w:rsidR="00307115">
        <w:rPr>
          <w:rFonts w:ascii="仿宋" w:eastAsia="仿宋" w:hAnsi="仿宋" w:hint="eastAsia"/>
          <w:sz w:val="32"/>
        </w:rPr>
        <w:t>.</w:t>
      </w:r>
      <w:r w:rsidR="008E3C09" w:rsidRPr="00664F31">
        <w:rPr>
          <w:rFonts w:ascii="仿宋" w:eastAsia="仿宋" w:hAnsi="仿宋"/>
          <w:sz w:val="32"/>
        </w:rPr>
        <w:t>交通补助标准</w:t>
      </w:r>
    </w:p>
    <w:p w:rsidR="00C254C2" w:rsidRPr="00165971" w:rsidRDefault="00C254C2" w:rsidP="00C254C2">
      <w:pPr>
        <w:widowControl w:val="0"/>
        <w:shd w:val="clear" w:color="auto" w:fill="FFFFFF"/>
        <w:adjustRightInd w:val="0"/>
        <w:snapToGrid w:val="0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 w:rsidRPr="00165971">
        <w:rPr>
          <w:rFonts w:ascii="仿宋_GB2312" w:eastAsia="仿宋_GB2312" w:hAnsi="仿宋" w:cs="仿宋_GB2312" w:hint="eastAsia"/>
          <w:sz w:val="32"/>
          <w:szCs w:val="32"/>
        </w:rPr>
        <w:t>市内交通费按出差自然（日历）天数计算，实行定额包干和实报实销结合的管理方式。包干标准每人每天80元。出差期间实际支出超出包干标准、合理范围内的，凭发票据实报销。</w:t>
      </w:r>
    </w:p>
    <w:p w:rsidR="00C254C2" w:rsidRDefault="00C254C2">
      <w:pPr>
        <w:rPr>
          <w:rFonts w:ascii="仿宋" w:eastAsia="仿宋" w:hAnsi="仿宋"/>
          <w:sz w:val="32"/>
        </w:rPr>
      </w:pPr>
    </w:p>
    <w:p w:rsidR="00426C38" w:rsidRDefault="00426C38" w:rsidP="00426C38">
      <w:pPr>
        <w:shd w:val="clear" w:color="auto" w:fill="FFFFFF"/>
        <w:rPr>
          <w:rFonts w:ascii="黑体" w:eastAsia="黑体" w:hAnsi="黑体" w:cs="仿宋_GB2312" w:hint="eastAsia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4</w:t>
      </w:r>
      <w:r>
        <w:rPr>
          <w:rFonts w:ascii="黑体" w:eastAsia="黑体" w:hAnsi="黑体" w:cs="黑体"/>
          <w:sz w:val="32"/>
          <w:szCs w:val="32"/>
        </w:rPr>
        <w:t>.</w:t>
      </w:r>
      <w:r w:rsidRPr="00165971">
        <w:rPr>
          <w:rFonts w:ascii="黑体" w:eastAsia="黑体" w:hAnsi="黑体" w:cs="仿宋_GB2312" w:hint="eastAsia"/>
          <w:bCs/>
          <w:sz w:val="32"/>
          <w:szCs w:val="32"/>
        </w:rPr>
        <w:t>中央和国家机关工作人员赴地方差旅住宿费标准明细表</w:t>
      </w:r>
    </w:p>
    <w:p w:rsidR="00426C38" w:rsidRPr="00165971" w:rsidRDefault="00426C38" w:rsidP="00426C38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683"/>
        <w:gridCol w:w="600"/>
        <w:gridCol w:w="538"/>
        <w:gridCol w:w="622"/>
        <w:gridCol w:w="1304"/>
        <w:gridCol w:w="965"/>
        <w:gridCol w:w="728"/>
        <w:gridCol w:w="532"/>
        <w:gridCol w:w="658"/>
      </w:tblGrid>
      <w:tr w:rsidR="00426C38" w:rsidRPr="00992ABE" w:rsidTr="00820886">
        <w:trPr>
          <w:cantSplit/>
          <w:trHeight w:val="220"/>
          <w:tblHeader/>
          <w:tblCellSpacing w:w="0" w:type="dxa"/>
          <w:jc w:val="center"/>
        </w:trPr>
        <w:tc>
          <w:tcPr>
            <w:tcW w:w="3139" w:type="dxa"/>
            <w:gridSpan w:val="2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地区（城市）</w:t>
            </w:r>
          </w:p>
        </w:tc>
        <w:tc>
          <w:tcPr>
            <w:tcW w:w="1760" w:type="dxa"/>
            <w:gridSpan w:val="3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住宿费标准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旺季地区</w:t>
            </w:r>
          </w:p>
        </w:tc>
        <w:tc>
          <w:tcPr>
            <w:tcW w:w="2883" w:type="dxa"/>
            <w:gridSpan w:val="4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旺季浮动标准</w:t>
            </w:r>
          </w:p>
        </w:tc>
      </w:tr>
      <w:tr w:rsidR="00426C38" w:rsidRPr="00992ABE" w:rsidTr="00820886">
        <w:trPr>
          <w:cantSplit/>
          <w:trHeight w:val="220"/>
          <w:tblHeader/>
          <w:tblCellSpacing w:w="0" w:type="dxa"/>
          <w:jc w:val="center"/>
        </w:trPr>
        <w:tc>
          <w:tcPr>
            <w:tcW w:w="3139" w:type="dxa"/>
            <w:gridSpan w:val="2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1760" w:type="dxa"/>
            <w:gridSpan w:val="3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旺季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期间</w:t>
            </w:r>
          </w:p>
        </w:tc>
        <w:tc>
          <w:tcPr>
            <w:tcW w:w="1918" w:type="dxa"/>
            <w:gridSpan w:val="3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旺季上浮价</w:t>
            </w:r>
          </w:p>
        </w:tc>
      </w:tr>
      <w:tr w:rsidR="00426C38" w:rsidRPr="00992ABE" w:rsidTr="00820886">
        <w:trPr>
          <w:cantSplit/>
          <w:trHeight w:val="950"/>
          <w:tblHeader/>
          <w:tblCellSpacing w:w="0" w:type="dxa"/>
          <w:jc w:val="center"/>
        </w:trPr>
        <w:tc>
          <w:tcPr>
            <w:tcW w:w="3139" w:type="dxa"/>
            <w:gridSpan w:val="2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一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二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三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一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二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三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类</w:t>
            </w: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北京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1100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53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天津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宁河区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7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河北</w:t>
            </w:r>
          </w:p>
        </w:tc>
        <w:tc>
          <w:tcPr>
            <w:tcW w:w="2683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石家庄市、张家口市、秦皇岛市、廊坊市、承德市、保定市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张家口市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7-9月11-3月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675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525</w:t>
            </w:r>
          </w:p>
        </w:tc>
      </w:tr>
      <w:tr w:rsidR="00426C38" w:rsidRPr="00992ABE" w:rsidTr="00820886">
        <w:trPr>
          <w:cantSplit/>
          <w:trHeight w:val="27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8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秦皇岛市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7-8月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680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</w:tr>
      <w:tr w:rsidR="00426C38" w:rsidRPr="00992ABE" w:rsidTr="00820886">
        <w:trPr>
          <w:cantSplit/>
          <w:trHeight w:val="26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8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承德市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580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580</w:t>
            </w: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山西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太原市、大同市、晋城市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28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临汾市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阳泉市、长治市、晋中市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3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内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蒙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古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呼和浩特市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460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9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460</w:t>
            </w:r>
          </w:p>
        </w:tc>
        <w:tc>
          <w:tcPr>
            <w:tcW w:w="622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海拉尔市、满洲里市、阿尔山市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</w:tr>
      <w:tr w:rsidR="00426C38" w:rsidRPr="00992ABE" w:rsidTr="00820886">
        <w:trPr>
          <w:cantSplit/>
          <w:trHeight w:val="2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8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二连浩特市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580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</w:tr>
      <w:tr w:rsidR="00426C38" w:rsidRPr="00992ABE" w:rsidTr="00820886">
        <w:trPr>
          <w:cantSplit/>
          <w:trHeight w:val="338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8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额济纳旗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9-10月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辽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宁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沈阳市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28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大连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490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960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420</w:t>
            </w:r>
          </w:p>
        </w:tc>
      </w:tr>
      <w:tr w:rsidR="00426C38" w:rsidRPr="00992ABE" w:rsidTr="00820886">
        <w:trPr>
          <w:cantSplit/>
          <w:trHeight w:val="36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吉林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长春市、吉林市、延边州、长白山管理区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吉林市、延边州、长白山管理区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960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540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420</w:t>
            </w: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黑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龙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江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哈尔滨市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哈尔滨市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960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540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420</w:t>
            </w:r>
          </w:p>
        </w:tc>
      </w:tr>
      <w:tr w:rsidR="00426C38" w:rsidRPr="00992ABE" w:rsidTr="00820886">
        <w:trPr>
          <w:cantSplit/>
          <w:trHeight w:val="58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牡丹江市、伊春市、大兴安岭地区、黑河市、佳木斯市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6-8月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540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360</w:t>
            </w: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上海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1100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江苏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南京市、苏州市、无锡市、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常州市、镇江市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490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490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浙江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杭州市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490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宁波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安徽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全省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460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福建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福州市、泉州市、平潭综合实验区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45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3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厦门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江西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全省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58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山东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烟台市、威海市、</w:t>
            </w:r>
            <w:r w:rsidRPr="00992ABE">
              <w:rPr>
                <w:rFonts w:ascii="仿宋" w:eastAsia="仿宋" w:hAnsi="仿宋" w:hint="eastAsia"/>
                <w:sz w:val="21"/>
                <w:szCs w:val="21"/>
              </w:rPr>
              <w:br/>
            </w:r>
            <w:r w:rsidRPr="00992ABE">
              <w:rPr>
                <w:rFonts w:eastAsia="仿宋" w:hint="eastAsia"/>
                <w:sz w:val="21"/>
                <w:szCs w:val="21"/>
              </w:rPr>
              <w:t> </w:t>
            </w:r>
            <w:r w:rsidRPr="00992ABE">
              <w:rPr>
                <w:rFonts w:ascii="仿宋" w:eastAsia="仿宋" w:hAnsi="仿宋" w:hint="eastAsia"/>
                <w:sz w:val="21"/>
                <w:szCs w:val="21"/>
              </w:rPr>
              <w:t>日照市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960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570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460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青岛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490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960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590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</w:tr>
      <w:tr w:rsidR="00426C38" w:rsidRPr="00992ABE" w:rsidTr="00820886">
        <w:trPr>
          <w:cantSplit/>
          <w:trHeight w:val="30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河南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郑州市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55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洛阳市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4-5月</w:t>
            </w:r>
            <w:r w:rsidRPr="00992ABE">
              <w:rPr>
                <w:rFonts w:ascii="仿宋" w:eastAsia="仿宋" w:hAnsi="仿宋" w:hint="eastAsia"/>
                <w:sz w:val="21"/>
                <w:szCs w:val="21"/>
              </w:rPr>
              <w:br/>
              <w:t>上旬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720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湖北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武汉市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湖南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长沙市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43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广东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广州市、珠海市、佛山市、东莞市、中山市、江门市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00"/>
          <w:tblCellSpacing w:w="0" w:type="dxa"/>
          <w:jc w:val="center"/>
        </w:trPr>
        <w:tc>
          <w:tcPr>
            <w:tcW w:w="456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深圳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广西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南宁市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6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桂林市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北海市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1-2月</w:t>
            </w:r>
            <w:r w:rsidRPr="00992ABE">
              <w:rPr>
                <w:rFonts w:ascii="仿宋" w:eastAsia="仿宋" w:hAnsi="仿宋" w:hint="eastAsia"/>
                <w:sz w:val="21"/>
                <w:szCs w:val="21"/>
              </w:rPr>
              <w:br/>
              <w:t>7-9月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1040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610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</w:tr>
      <w:tr w:rsidR="00426C38" w:rsidRPr="00992ABE" w:rsidTr="00820886">
        <w:trPr>
          <w:cantSplit/>
          <w:trHeight w:val="46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海南</w:t>
            </w:r>
          </w:p>
        </w:tc>
        <w:tc>
          <w:tcPr>
            <w:tcW w:w="2683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海口市、三沙市、儋州市、五指山市、文昌市、琼海</w:t>
            </w:r>
            <w:r w:rsidRPr="00992AB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800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22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海口市、文昌市、澄迈县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11-2月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1040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</w:tr>
      <w:tr w:rsidR="00426C38" w:rsidRPr="00992ABE" w:rsidTr="00820886">
        <w:trPr>
          <w:cantSplit/>
          <w:trHeight w:val="46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8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22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琼海市、万宁市、陵水县、保亭县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11-3月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1040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三亚市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三亚市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10-4月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720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重庆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9个中心城区、北部新区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770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四川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成都市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阿坝州、甘孜州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绵阳市、乐山市、雅安市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宜宾市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凉山州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97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德阳市、遂宁市、巴中市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0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贵州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贵阳市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43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云南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昆明市、大理州、丽江市、迪庆州、西双版纳州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491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西藏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拉萨市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拉萨市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530</w:t>
            </w: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陕西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西安市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460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榆林市、延安市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680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杨凌区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680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咸阳市、宝鸡市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渭南市、韩城市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甘肃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兰州市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青海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西宁市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西宁市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1200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530</w:t>
            </w: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玉树州、果洛州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玉树州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525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海北州、黄南州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海北州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黄南州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525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375</w:t>
            </w: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海东市、海南州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海东市</w:t>
            </w:r>
          </w:p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海南州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375</w:t>
            </w: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海西州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600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200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海西州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5-9月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900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宁夏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银川市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470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其他地区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430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hRule="exact" w:val="340"/>
          <w:tblCellSpacing w:w="0" w:type="dxa"/>
          <w:jc w:val="center"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新疆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乌鲁木齐市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59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340" w:lineRule="exact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2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克州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800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1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喀什地区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780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480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29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阿克苏地区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450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26C38" w:rsidRPr="00992ABE" w:rsidTr="00820886">
        <w:trPr>
          <w:cantSplit/>
          <w:trHeight w:val="330"/>
          <w:tblCellSpacing w:w="0" w:type="dxa"/>
          <w:jc w:val="center"/>
        </w:trPr>
        <w:tc>
          <w:tcPr>
            <w:tcW w:w="456" w:type="dxa"/>
            <w:vMerge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塔城地区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700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400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92ABE">
              <w:rPr>
                <w:rFonts w:ascii="仿宋" w:eastAsia="仿宋" w:hAnsi="仿宋" w:hint="eastAsia"/>
                <w:sz w:val="21"/>
                <w:szCs w:val="21"/>
              </w:rPr>
              <w:t>300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 w:rsidR="00426C38" w:rsidRPr="00992ABE" w:rsidRDefault="00426C38" w:rsidP="0082088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426C38" w:rsidRPr="00992ABE" w:rsidRDefault="00426C38" w:rsidP="00426C38">
      <w:pPr>
        <w:shd w:val="clear" w:color="auto" w:fill="auto"/>
        <w:adjustRightInd w:val="0"/>
        <w:snapToGrid w:val="0"/>
        <w:spacing w:beforeLines="50" w:before="156" w:line="240" w:lineRule="auto"/>
        <w:ind w:left="1680" w:hangingChars="700" w:hanging="1680"/>
        <w:rPr>
          <w:rFonts w:ascii="仿宋" w:eastAsia="仿宋" w:hAnsi="仿宋"/>
          <w:color w:val="auto"/>
          <w:sz w:val="24"/>
          <w:szCs w:val="24"/>
        </w:rPr>
      </w:pPr>
      <w:r w:rsidRPr="00992ABE">
        <w:rPr>
          <w:rFonts w:ascii="仿宋" w:eastAsia="仿宋" w:hAnsi="仿宋"/>
          <w:color w:val="auto"/>
          <w:sz w:val="24"/>
          <w:szCs w:val="24"/>
        </w:rPr>
        <w:t xml:space="preserve">注: 一类人员: </w:t>
      </w:r>
      <w:r>
        <w:rPr>
          <w:rFonts w:ascii="仿宋" w:eastAsia="仿宋" w:hAnsi="仿宋" w:hint="eastAsia"/>
          <w:color w:val="auto"/>
          <w:sz w:val="24"/>
          <w:szCs w:val="24"/>
        </w:rPr>
        <w:t>二级及以上职员，</w:t>
      </w:r>
      <w:r w:rsidRPr="00992ABE">
        <w:rPr>
          <w:rFonts w:ascii="仿宋" w:eastAsia="仿宋" w:hAnsi="仿宋"/>
          <w:color w:val="auto"/>
          <w:sz w:val="24"/>
          <w:szCs w:val="24"/>
        </w:rPr>
        <w:t>二级教授、长江学者、杰青，科教卓越贡献人才，千人计划国家特聘专家</w:t>
      </w:r>
      <w:r>
        <w:rPr>
          <w:rFonts w:ascii="仿宋" w:eastAsia="仿宋" w:hAnsi="仿宋" w:hint="eastAsia"/>
          <w:color w:val="auto"/>
          <w:sz w:val="24"/>
          <w:szCs w:val="24"/>
        </w:rPr>
        <w:t>。</w:t>
      </w:r>
    </w:p>
    <w:p w:rsidR="00426C38" w:rsidRPr="00992ABE" w:rsidRDefault="00426C38" w:rsidP="00426C38">
      <w:pPr>
        <w:shd w:val="clear" w:color="auto" w:fill="auto"/>
        <w:adjustRightInd w:val="0"/>
        <w:snapToGrid w:val="0"/>
        <w:spacing w:line="240" w:lineRule="auto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992ABE">
        <w:rPr>
          <w:rFonts w:ascii="仿宋" w:eastAsia="仿宋" w:hAnsi="仿宋"/>
          <w:color w:val="auto"/>
          <w:sz w:val="24"/>
          <w:szCs w:val="24"/>
        </w:rPr>
        <w:t>二类人员:</w:t>
      </w:r>
      <w:r>
        <w:rPr>
          <w:rFonts w:ascii="仿宋" w:eastAsia="仿宋" w:hAnsi="仿宋" w:hint="eastAsia"/>
          <w:color w:val="auto"/>
          <w:sz w:val="24"/>
          <w:szCs w:val="24"/>
        </w:rPr>
        <w:t>三、四级职员，</w:t>
      </w:r>
      <w:r w:rsidRPr="00992ABE">
        <w:rPr>
          <w:rFonts w:ascii="仿宋" w:eastAsia="仿宋" w:hAnsi="仿宋"/>
          <w:color w:val="auto"/>
          <w:sz w:val="24"/>
          <w:szCs w:val="24"/>
        </w:rPr>
        <w:t>五级及以上技术职务</w:t>
      </w:r>
      <w:r>
        <w:rPr>
          <w:rFonts w:ascii="仿宋" w:eastAsia="仿宋" w:hAnsi="仿宋" w:hint="eastAsia"/>
          <w:color w:val="auto"/>
          <w:sz w:val="24"/>
          <w:szCs w:val="24"/>
        </w:rPr>
        <w:t>。</w:t>
      </w:r>
    </w:p>
    <w:p w:rsidR="00426C38" w:rsidRPr="00992ABE" w:rsidRDefault="00426C38" w:rsidP="00426C38">
      <w:pPr>
        <w:shd w:val="clear" w:color="auto" w:fill="auto"/>
        <w:adjustRightInd w:val="0"/>
        <w:snapToGrid w:val="0"/>
        <w:spacing w:line="240" w:lineRule="auto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992ABE">
        <w:rPr>
          <w:rFonts w:ascii="仿宋" w:eastAsia="仿宋" w:hAnsi="仿宋"/>
          <w:color w:val="auto"/>
          <w:sz w:val="24"/>
          <w:szCs w:val="24"/>
        </w:rPr>
        <w:t>三类人员:其余人员。</w:t>
      </w:r>
    </w:p>
    <w:p w:rsidR="00426C38" w:rsidRPr="00F56CE6" w:rsidRDefault="00426C38" w:rsidP="00426C38">
      <w:pPr>
        <w:shd w:val="clear" w:color="auto" w:fill="FFFFFF"/>
        <w:spacing w:line="20" w:lineRule="exact"/>
        <w:jc w:val="center"/>
        <w:rPr>
          <w:rFonts w:ascii="仿宋" w:eastAsia="仿宋" w:hAnsi="仿宋" w:cs="仿宋_GB2312" w:hint="eastAsia"/>
        </w:rPr>
      </w:pPr>
    </w:p>
    <w:p w:rsidR="00426C38" w:rsidRDefault="00426C38" w:rsidP="00426C38"/>
    <w:p w:rsidR="00426C38" w:rsidRPr="00C254C2" w:rsidRDefault="00426C38">
      <w:pPr>
        <w:rPr>
          <w:rFonts w:ascii="仿宋" w:eastAsia="仿宋" w:hAnsi="仿宋" w:hint="eastAsia"/>
          <w:sz w:val="32"/>
        </w:rPr>
      </w:pPr>
    </w:p>
    <w:sectPr w:rsidR="00426C38" w:rsidRPr="00C2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A" w:rsidRDefault="00063D0A" w:rsidP="00A67E98">
      <w:pPr>
        <w:spacing w:line="240" w:lineRule="auto"/>
      </w:pPr>
      <w:r>
        <w:separator/>
      </w:r>
    </w:p>
  </w:endnote>
  <w:endnote w:type="continuationSeparator" w:id="0">
    <w:p w:rsidR="00063D0A" w:rsidRDefault="00063D0A" w:rsidP="00A67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A" w:rsidRDefault="00063D0A" w:rsidP="00A67E98">
      <w:pPr>
        <w:spacing w:line="240" w:lineRule="auto"/>
      </w:pPr>
      <w:r>
        <w:separator/>
      </w:r>
    </w:p>
  </w:footnote>
  <w:footnote w:type="continuationSeparator" w:id="0">
    <w:p w:rsidR="00063D0A" w:rsidRDefault="00063D0A" w:rsidP="00A67E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09"/>
    <w:rsid w:val="00063D0A"/>
    <w:rsid w:val="00205195"/>
    <w:rsid w:val="00307115"/>
    <w:rsid w:val="00357DCE"/>
    <w:rsid w:val="00426C38"/>
    <w:rsid w:val="00664F31"/>
    <w:rsid w:val="006D2BC7"/>
    <w:rsid w:val="007C67B3"/>
    <w:rsid w:val="008E3C09"/>
    <w:rsid w:val="00A67E98"/>
    <w:rsid w:val="00C254C2"/>
    <w:rsid w:val="00E7580B"/>
    <w:rsid w:val="00E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67E80-5346-4FA9-B256-7B6423D2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09"/>
    <w:pPr>
      <w:shd w:val="clear" w:color="auto" w:fill="FCFCFC"/>
      <w:spacing w:line="360" w:lineRule="auto"/>
    </w:pPr>
    <w:rPr>
      <w:rFonts w:ascii="宋体" w:eastAsia="宋体" w:hAnsi="宋体" w:cs="宋体"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E98"/>
    <w:rPr>
      <w:rFonts w:ascii="宋体" w:eastAsia="宋体" w:hAnsi="宋体" w:cs="宋体"/>
      <w:color w:val="333333"/>
      <w:kern w:val="0"/>
      <w:sz w:val="18"/>
      <w:szCs w:val="18"/>
      <w:shd w:val="clear" w:color="auto" w:fill="FCFCFC"/>
    </w:rPr>
  </w:style>
  <w:style w:type="paragraph" w:styleId="a4">
    <w:name w:val="footer"/>
    <w:basedOn w:val="a"/>
    <w:link w:val="Char0"/>
    <w:uiPriority w:val="99"/>
    <w:unhideWhenUsed/>
    <w:rsid w:val="00A67E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98"/>
    <w:rPr>
      <w:rFonts w:ascii="宋体" w:eastAsia="宋体" w:hAnsi="宋体" w:cs="宋体"/>
      <w:color w:val="333333"/>
      <w:kern w:val="0"/>
      <w:sz w:val="18"/>
      <w:szCs w:val="18"/>
      <w:shd w:val="clear" w:color="auto" w:fill="FCFCFC"/>
    </w:rPr>
  </w:style>
  <w:style w:type="character" w:customStyle="1" w:styleId="Char1">
    <w:name w:val="页脚 Char1"/>
    <w:uiPriority w:val="99"/>
    <w:semiHidden/>
    <w:rsid w:val="00426C38"/>
    <w:rPr>
      <w:rFonts w:ascii="宋体" w:eastAsia="宋体" w:hAnsi="宋体" w:cs="宋体"/>
      <w:color w:val="333333"/>
      <w:kern w:val="0"/>
      <w:sz w:val="18"/>
      <w:szCs w:val="18"/>
      <w:shd w:val="clear" w:color="auto" w:fill="FCFCFC"/>
    </w:rPr>
  </w:style>
  <w:style w:type="character" w:customStyle="1" w:styleId="Char10">
    <w:name w:val="页眉 Char1"/>
    <w:uiPriority w:val="99"/>
    <w:semiHidden/>
    <w:rsid w:val="00426C38"/>
    <w:rPr>
      <w:rFonts w:ascii="宋体" w:eastAsia="宋体" w:hAnsi="宋体" w:cs="宋体"/>
      <w:color w:val="333333"/>
      <w:kern w:val="0"/>
      <w:sz w:val="18"/>
      <w:szCs w:val="18"/>
      <w:shd w:val="clear" w:color="auto" w:fill="FCFCFC"/>
    </w:rPr>
  </w:style>
  <w:style w:type="paragraph" w:styleId="a5">
    <w:name w:val="Normal (Web)"/>
    <w:basedOn w:val="a"/>
    <w:uiPriority w:val="99"/>
    <w:unhideWhenUsed/>
    <w:qFormat/>
    <w:rsid w:val="00426C3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文档结构图 Char"/>
    <w:link w:val="a6"/>
    <w:uiPriority w:val="99"/>
    <w:semiHidden/>
    <w:rsid w:val="00426C38"/>
    <w:rPr>
      <w:rFonts w:ascii="宋体" w:hAnsi="宋体" w:cs="宋体"/>
      <w:color w:val="333333"/>
      <w:sz w:val="18"/>
      <w:szCs w:val="18"/>
      <w:shd w:val="clear" w:color="auto" w:fill="FCFCFC"/>
    </w:rPr>
  </w:style>
  <w:style w:type="paragraph" w:styleId="a6">
    <w:name w:val="Document Map"/>
    <w:basedOn w:val="a"/>
    <w:link w:val="Char2"/>
    <w:uiPriority w:val="99"/>
    <w:semiHidden/>
    <w:unhideWhenUsed/>
    <w:rsid w:val="00426C38"/>
    <w:rPr>
      <w:rFonts w:eastAsiaTheme="minorEastAsia"/>
      <w:kern w:val="2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426C38"/>
    <w:rPr>
      <w:rFonts w:ascii="Microsoft YaHei UI" w:eastAsia="Microsoft YaHei UI" w:hAnsi="宋体" w:cs="宋体"/>
      <w:color w:val="333333"/>
      <w:kern w:val="0"/>
      <w:sz w:val="18"/>
      <w:szCs w:val="18"/>
      <w:shd w:val="clear" w:color="auto" w:fill="FCFCF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hanfeng5529@163.com</dc:creator>
  <cp:keywords/>
  <dc:description/>
  <cp:lastModifiedBy>hanfeng5529@163.com</cp:lastModifiedBy>
  <cp:revision>11</cp:revision>
  <dcterms:created xsi:type="dcterms:W3CDTF">2020-08-31T09:15:00Z</dcterms:created>
  <dcterms:modified xsi:type="dcterms:W3CDTF">2020-09-01T12:52:00Z</dcterms:modified>
</cp:coreProperties>
</file>